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85A0D">
      <w:pPr>
        <w:spacing w:before="100" w:line="230" w:lineRule="auto"/>
        <w:ind w:left="44"/>
        <w:rPr>
          <w:rFonts w:ascii="Arial" w:hAnsi="Arial" w:eastAsia="Arial" w:cs="Arial"/>
          <w:sz w:val="31"/>
          <w:szCs w:val="31"/>
        </w:rPr>
      </w:pPr>
      <w:r>
        <w:rPr>
          <w:rFonts w:ascii="黑体" w:hAnsi="黑体" w:eastAsia="黑体" w:cs="黑体"/>
          <w:spacing w:val="-2"/>
          <w:sz w:val="31"/>
          <w:szCs w:val="31"/>
        </w:rPr>
        <w:t>附件</w:t>
      </w:r>
      <w:r>
        <w:rPr>
          <w:rFonts w:ascii="Arial" w:hAnsi="Arial" w:eastAsia="Arial" w:cs="Arial"/>
          <w:spacing w:val="-2"/>
          <w:sz w:val="31"/>
          <w:szCs w:val="31"/>
        </w:rPr>
        <w:t>1</w:t>
      </w:r>
    </w:p>
    <w:p w14:paraId="2976E64A">
      <w:pPr>
        <w:spacing w:line="317" w:lineRule="auto"/>
        <w:rPr>
          <w:rFonts w:ascii="Arial"/>
          <w:sz w:val="21"/>
        </w:rPr>
      </w:pPr>
    </w:p>
    <w:p w14:paraId="7F273357">
      <w:pPr>
        <w:spacing w:line="317" w:lineRule="auto"/>
        <w:rPr>
          <w:rFonts w:ascii="Arial"/>
          <w:sz w:val="21"/>
        </w:rPr>
      </w:pPr>
    </w:p>
    <w:p w14:paraId="48E49B6C">
      <w:pPr>
        <w:spacing w:before="135" w:line="239" w:lineRule="auto"/>
        <w:ind w:left="1473"/>
        <w:rPr>
          <w:rFonts w:ascii="方正小标宋_GBK" w:hAnsi="方正小标宋_GBK" w:eastAsia="方正小标宋_GBK" w:cs="方正小标宋_GBK"/>
          <w:sz w:val="35"/>
          <w:szCs w:val="35"/>
        </w:rPr>
      </w:pPr>
      <w:r>
        <w:rPr>
          <w:rFonts w:ascii="方正小标宋_GBK" w:hAnsi="方正小标宋_GBK" w:eastAsia="方正小标宋_GBK" w:cs="方正小标宋_GBK"/>
          <w:spacing w:val="9"/>
          <w:sz w:val="35"/>
          <w:szCs w:val="35"/>
        </w:rPr>
        <w:t>第十届教育部科学研究优秀成果奖</w:t>
      </w:r>
    </w:p>
    <w:p w14:paraId="22737408">
      <w:pPr>
        <w:spacing w:before="59" w:line="238" w:lineRule="auto"/>
        <w:ind w:left="911"/>
        <w:rPr>
          <w:rFonts w:ascii="方正小标宋_GBK" w:hAnsi="方正小标宋_GBK" w:eastAsia="方正小标宋_GBK" w:cs="方正小标宋_GBK"/>
          <w:sz w:val="35"/>
          <w:szCs w:val="35"/>
        </w:rPr>
      </w:pPr>
      <w:r>
        <w:rPr>
          <w:rFonts w:ascii="方正小标宋_GBK" w:hAnsi="方正小标宋_GBK" w:eastAsia="方正小标宋_GBK" w:cs="方正小标宋_GBK"/>
          <w:spacing w:val="10"/>
          <w:sz w:val="35"/>
          <w:szCs w:val="35"/>
        </w:rPr>
        <w:t>（人文社会科学）</w:t>
      </w:r>
      <w:r>
        <w:rPr>
          <w:rFonts w:ascii="方正小标宋简体" w:hAnsi="方正小标宋简体" w:eastAsia="方正小标宋简体" w:cs="方正小标宋简体"/>
          <w:spacing w:val="10"/>
          <w:sz w:val="35"/>
          <w:szCs w:val="35"/>
        </w:rPr>
        <w:t>“</w:t>
      </w:r>
      <w:r>
        <w:rPr>
          <w:rFonts w:ascii="方正小标宋_GBK" w:hAnsi="方正小标宋_GBK" w:eastAsia="方正小标宋_GBK" w:cs="方正小标宋_GBK"/>
          <w:spacing w:val="10"/>
          <w:sz w:val="35"/>
          <w:szCs w:val="35"/>
        </w:rPr>
        <w:t>教育科学研究</w:t>
      </w:r>
      <w:r>
        <w:rPr>
          <w:rFonts w:ascii="方正小标宋简体" w:hAnsi="方正小标宋简体" w:eastAsia="方正小标宋简体" w:cs="方正小标宋简体"/>
          <w:spacing w:val="10"/>
          <w:sz w:val="35"/>
          <w:szCs w:val="35"/>
        </w:rPr>
        <w:t>”</w:t>
      </w:r>
      <w:r>
        <w:rPr>
          <w:rFonts w:ascii="方正小标宋_GBK" w:hAnsi="方正小标宋_GBK" w:eastAsia="方正小标宋_GBK" w:cs="方正小标宋_GBK"/>
          <w:spacing w:val="10"/>
          <w:sz w:val="35"/>
          <w:szCs w:val="35"/>
        </w:rPr>
        <w:t>专区</w:t>
      </w:r>
    </w:p>
    <w:p w14:paraId="0B98D297">
      <w:pPr>
        <w:spacing w:before="70" w:line="207" w:lineRule="auto"/>
        <w:ind w:left="3450"/>
        <w:rPr>
          <w:rFonts w:ascii="方正小标宋_GBK" w:hAnsi="方正小标宋_GBK" w:eastAsia="方正小标宋_GBK" w:cs="方正小标宋_GBK"/>
          <w:sz w:val="35"/>
          <w:szCs w:val="35"/>
        </w:rPr>
      </w:pPr>
      <w:r>
        <w:rPr>
          <w:rFonts w:ascii="方正小标宋_GBK" w:hAnsi="方正小标宋_GBK" w:eastAsia="方正小标宋_GBK" w:cs="方正小标宋_GBK"/>
          <w:spacing w:val="8"/>
          <w:sz w:val="35"/>
          <w:szCs w:val="35"/>
        </w:rPr>
        <w:t>工作安排</w:t>
      </w:r>
    </w:p>
    <w:p w14:paraId="7A90DDD4">
      <w:pPr>
        <w:spacing w:line="331" w:lineRule="auto"/>
        <w:rPr>
          <w:rFonts w:ascii="Arial"/>
          <w:sz w:val="21"/>
        </w:rPr>
      </w:pPr>
    </w:p>
    <w:p w14:paraId="00372815">
      <w:pPr>
        <w:spacing w:line="331" w:lineRule="auto"/>
        <w:rPr>
          <w:rFonts w:ascii="Arial"/>
          <w:sz w:val="21"/>
        </w:rPr>
      </w:pPr>
    </w:p>
    <w:p w14:paraId="729FC6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71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第十届教育部科学研究优秀成果奖（人文社会科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学）</w:t>
      </w:r>
      <w:r>
        <w:rPr>
          <w:rFonts w:hint="eastAsia" w:ascii="宋体" w:hAnsi="宋体" w:eastAsia="宋体" w:cs="宋体"/>
          <w:spacing w:val="-13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“</w:t>
      </w:r>
      <w:r>
        <w:rPr>
          <w:rFonts w:hint="eastAsia" w:ascii="宋体" w:hAnsi="宋体" w:eastAsia="宋体" w:cs="宋体"/>
          <w:spacing w:val="9"/>
          <w:sz w:val="24"/>
          <w:szCs w:val="24"/>
        </w:rPr>
        <w:t>教育科学研究”专区评奖工作由全国教育科学规划领导小</w:t>
      </w:r>
      <w:r>
        <w:rPr>
          <w:rFonts w:hint="eastAsia" w:ascii="宋体" w:hAnsi="宋体" w:eastAsia="宋体" w:cs="宋体"/>
          <w:spacing w:val="7"/>
          <w:sz w:val="24"/>
          <w:szCs w:val="24"/>
        </w:rPr>
        <w:t>组统筹领导，全国教育科学规划领导小组办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公室（</w:t>
      </w:r>
      <w:r>
        <w:rPr>
          <w:rFonts w:hint="eastAsia" w:ascii="宋体" w:hAnsi="宋体" w:eastAsia="宋体" w:cs="宋体"/>
          <w:spacing w:val="-8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以下简</w:t>
      </w:r>
      <w:r>
        <w:rPr>
          <w:rFonts w:hint="eastAsia" w:ascii="宋体" w:hAnsi="宋体" w:eastAsia="宋体" w:cs="宋体"/>
          <w:spacing w:val="8"/>
          <w:sz w:val="24"/>
          <w:szCs w:val="24"/>
        </w:rPr>
        <w:t>称全规办）具体组织实施。有关工作安排如下。</w:t>
      </w:r>
    </w:p>
    <w:p w14:paraId="0D4DF1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2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一、奖项设置和数量</w:t>
      </w:r>
    </w:p>
    <w:p w14:paraId="5703C8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504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本届“教育科学研究”专区（</w:t>
      </w:r>
      <w:r>
        <w:rPr>
          <w:rFonts w:hint="eastAsia" w:ascii="宋体" w:hAnsi="宋体" w:eastAsia="宋体" w:cs="宋体"/>
          <w:spacing w:val="-7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以下简称专区）设置著</w:t>
      </w:r>
      <w:r>
        <w:rPr>
          <w:rFonts w:hint="eastAsia" w:ascii="宋体" w:hAnsi="宋体" w:eastAsia="宋体" w:cs="宋体"/>
          <w:spacing w:val="9"/>
          <w:sz w:val="24"/>
          <w:szCs w:val="24"/>
        </w:rPr>
        <w:t>作论文奖、咨询服务报告奖、普及读物奖、青年成果奖。普及读物奖和青年成果奖不分等级，其他奖项分设一、二</w:t>
      </w:r>
      <w:r>
        <w:rPr>
          <w:rFonts w:hint="eastAsia" w:ascii="宋体" w:hAnsi="宋体" w:eastAsia="宋体" w:cs="宋体"/>
          <w:spacing w:val="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、三等奖。</w:t>
      </w:r>
    </w:p>
    <w:p w14:paraId="5DAF1F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256" w:firstLineChars="1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专区奖励数量为190项。按照确保质量的要求，允许各</w:t>
      </w:r>
      <w:r>
        <w:rPr>
          <w:rFonts w:hint="eastAsia" w:ascii="宋体" w:hAnsi="宋体" w:eastAsia="宋体" w:cs="宋体"/>
          <w:spacing w:val="6"/>
          <w:sz w:val="24"/>
          <w:szCs w:val="24"/>
        </w:rPr>
        <w:t>类、各等级奖项有空缺。</w:t>
      </w:r>
    </w:p>
    <w:p w14:paraId="7F644F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2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二、申报资格和要求</w:t>
      </w:r>
    </w:p>
    <w:p w14:paraId="47579D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参评成果范围为2021年1月1 日至2024年12月31 日期间</w:t>
      </w:r>
      <w:r>
        <w:rPr>
          <w:rFonts w:hint="eastAsia" w:ascii="宋体" w:hAnsi="宋体" w:eastAsia="宋体" w:cs="宋体"/>
          <w:spacing w:val="6"/>
          <w:sz w:val="24"/>
          <w:szCs w:val="24"/>
        </w:rPr>
        <w:t>著作、论文、咨询服务报告、普及读物，</w:t>
      </w:r>
      <w:r>
        <w:rPr>
          <w:rFonts w:hint="eastAsia" w:ascii="宋体" w:hAnsi="宋体" w:eastAsia="宋体" w:cs="宋体"/>
          <w:spacing w:val="-7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已获上届高校科</w:t>
      </w:r>
      <w:r>
        <w:rPr>
          <w:rFonts w:hint="eastAsia" w:ascii="宋体" w:hAnsi="宋体" w:eastAsia="宋体" w:cs="宋体"/>
          <w:spacing w:val="9"/>
          <w:sz w:val="24"/>
          <w:szCs w:val="24"/>
        </w:rPr>
        <w:t>学研究优秀成果奖（人文社会科学）的成果除外。具体申报资格和要求详见专区评奖工作实施办法（附件4）有关规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定。</w:t>
      </w:r>
    </w:p>
    <w:p w14:paraId="244E26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8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</w:rPr>
        <w:t>三、申报单位和名额</w:t>
      </w:r>
    </w:p>
    <w:p w14:paraId="5AB75F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516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（一）全规办受理二级管理单位的集中申报、审核和推荐，不直接受理个人申报。二级管理单位包括省级教育行政部门（指定各省级教育科学规划办公室具体负责</w:t>
      </w:r>
      <w:r>
        <w:rPr>
          <w:rFonts w:hint="eastAsia" w:ascii="宋体" w:hAnsi="宋体" w:eastAsia="宋体" w:cs="宋体"/>
          <w:spacing w:val="15"/>
          <w:sz w:val="24"/>
          <w:szCs w:val="24"/>
        </w:rPr>
        <w:t>），</w:t>
      </w:r>
      <w:r>
        <w:rPr>
          <w:rFonts w:hint="eastAsia" w:ascii="宋体" w:hAnsi="宋体" w:eastAsia="宋体" w:cs="宋体"/>
          <w:spacing w:val="9"/>
          <w:sz w:val="24"/>
          <w:szCs w:val="24"/>
        </w:rPr>
        <w:t>教育部直属高校、部省合建高校、其他有关部门（单位）所属高校、教育部直属单位等的科研管理部门，中央军委训练管理部军事教育局。各省级教育科学规划办公室组织地方高校、地方教育科研院所、地方教育行政部门、中小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学校等的申报。</w:t>
      </w:r>
    </w:p>
    <w:p w14:paraId="26D5F93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516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（二）专区评奖首次面向香港、澳门地区开放，相关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工作安排另行通知。</w:t>
      </w:r>
    </w:p>
    <w:p w14:paraId="7D32EB4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516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（三）专区评奖采取限额申报，具体申报名额</w:t>
      </w:r>
      <w:r>
        <w:rPr>
          <w:rFonts w:hint="eastAsia" w:ascii="宋体" w:hAnsi="宋体" w:eastAsia="宋体" w:cs="宋体"/>
          <w:spacing w:val="9"/>
          <w:sz w:val="24"/>
          <w:szCs w:val="24"/>
          <w:lang w:eastAsia="zh-CN"/>
        </w:rPr>
        <w:t>另行通知</w:t>
      </w:r>
      <w:r>
        <w:rPr>
          <w:rFonts w:hint="eastAsia" w:ascii="宋体" w:hAnsi="宋体" w:eastAsia="宋体" w:cs="宋体"/>
          <w:spacing w:val="9"/>
          <w:sz w:val="24"/>
          <w:szCs w:val="24"/>
        </w:rPr>
        <w:t>。二级管理单位要充分动员、精心组织，规范申报程序，强化纪律监督，切实把好政治方向关和学术质量关，按照限额指标组织好本单位、本行</w:t>
      </w:r>
      <w:r>
        <w:rPr>
          <w:rFonts w:hint="eastAsia" w:ascii="宋体" w:hAnsi="宋体" w:eastAsia="宋体" w:cs="宋体"/>
          <w:spacing w:val="7"/>
          <w:sz w:val="24"/>
          <w:szCs w:val="24"/>
        </w:rPr>
        <w:t>政区域的推荐。</w:t>
      </w:r>
    </w:p>
    <w:p w14:paraId="7C3CC6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pacing w:val="6"/>
          <w:sz w:val="24"/>
          <w:szCs w:val="24"/>
        </w:rPr>
        <w:t>四、申报办法和程序</w:t>
      </w:r>
    </w:p>
    <w:p w14:paraId="598855B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5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0"/>
          <w:sz w:val="24"/>
          <w:szCs w:val="24"/>
        </w:rPr>
        <w:t>（一）专区评奖采取网上申报。全规办官方网站（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http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pacing w:val="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0"/>
          <w:sz w:val="24"/>
          <w:szCs w:val="24"/>
        </w:rPr>
        <w:t>s://</w:t>
      </w:r>
      <w:r>
        <w:rPr>
          <w:rFonts w:hint="eastAsia" w:ascii="宋体" w:hAnsi="宋体" w:eastAsia="宋体" w:cs="宋体"/>
          <w:sz w:val="24"/>
          <w:szCs w:val="24"/>
        </w:rPr>
        <w:t>onsgep</w:t>
      </w:r>
      <w:r>
        <w:rPr>
          <w:rFonts w:hint="eastAsia" w:ascii="宋体" w:hAnsi="宋体" w:eastAsia="宋体" w:cs="宋体"/>
          <w:spacing w:val="10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moe</w:t>
      </w:r>
      <w:r>
        <w:rPr>
          <w:rFonts w:hint="eastAsia" w:ascii="宋体" w:hAnsi="宋体" w:eastAsia="宋体" w:cs="宋体"/>
          <w:spacing w:val="10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edu</w:t>
      </w:r>
      <w:r>
        <w:rPr>
          <w:rFonts w:hint="eastAsia" w:ascii="宋体" w:hAnsi="宋体" w:eastAsia="宋体" w:cs="宋体"/>
          <w:spacing w:val="10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cn</w:t>
      </w:r>
      <w:r>
        <w:rPr>
          <w:rFonts w:hint="eastAsia" w:ascii="宋体" w:hAnsi="宋体" w:eastAsia="宋体" w:cs="宋体"/>
          <w:spacing w:val="10"/>
          <w:sz w:val="24"/>
          <w:szCs w:val="24"/>
        </w:rPr>
        <w:t>）的评奖申报系统为专区评奖申报</w:t>
      </w:r>
      <w:r>
        <w:rPr>
          <w:rFonts w:hint="eastAsia" w:ascii="宋体" w:hAnsi="宋体" w:eastAsia="宋体" w:cs="宋体"/>
          <w:spacing w:val="6"/>
          <w:sz w:val="24"/>
          <w:szCs w:val="24"/>
        </w:rPr>
        <w:t>的网络平台。系统于2025年10月20日9时开放</w:t>
      </w:r>
      <w:r>
        <w:rPr>
          <w:rFonts w:hint="eastAsia" w:ascii="宋体" w:hAnsi="宋体" w:eastAsia="宋体" w:cs="宋体"/>
          <w:spacing w:val="5"/>
          <w:sz w:val="24"/>
          <w:szCs w:val="24"/>
        </w:rPr>
        <w:t>，</w:t>
      </w:r>
      <w:r>
        <w:rPr>
          <w:rFonts w:hint="eastAsia"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5"/>
          <w:sz w:val="24"/>
          <w:szCs w:val="24"/>
        </w:rPr>
        <w:t>申报限额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和申报流程详见系统说明。</w:t>
      </w:r>
    </w:p>
    <w:p w14:paraId="6AD072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</w:rPr>
        <w:t>（二）</w:t>
      </w:r>
      <w:r>
        <w:rPr>
          <w:rFonts w:hint="eastAsia"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申报者访问（无需登录）全规办评奖</w:t>
      </w:r>
      <w:r>
        <w:rPr>
          <w:rFonts w:hint="eastAsia" w:ascii="宋体" w:hAnsi="宋体" w:eastAsia="宋体" w:cs="宋体"/>
          <w:spacing w:val="6"/>
          <w:sz w:val="24"/>
          <w:szCs w:val="24"/>
        </w:rPr>
        <w:t>申报系统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,</w:t>
      </w:r>
      <w:r>
        <w:rPr>
          <w:rFonts w:hint="eastAsia" w:ascii="宋体" w:hAnsi="宋体" w:eastAsia="宋体" w:cs="宋体"/>
          <w:spacing w:val="10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下载《第十届教育部科学研究优秀成果奖（人文社会科</w:t>
      </w:r>
    </w:p>
    <w:p w14:paraId="435573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13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学）“教育科学研究”专区申报评审表》（</w:t>
      </w:r>
      <w:r>
        <w:rPr>
          <w:rFonts w:hint="eastAsia" w:ascii="宋体" w:hAnsi="宋体" w:eastAsia="宋体" w:cs="宋体"/>
          <w:spacing w:val="-6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5"/>
          <w:sz w:val="24"/>
          <w:szCs w:val="24"/>
        </w:rPr>
        <w:t>以下简称《专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区申报评审表》）进行填写。</w:t>
      </w:r>
      <w:r>
        <w:rPr>
          <w:rFonts w:hint="eastAsia" w:ascii="宋体" w:hAnsi="宋体" w:eastAsia="宋体" w:cs="宋体"/>
          <w:spacing w:val="-7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申报者将《专区申报评审表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11"/>
          <w:sz w:val="24"/>
          <w:szCs w:val="24"/>
        </w:rPr>
        <w:t>》的</w:t>
      </w:r>
      <w:r>
        <w:rPr>
          <w:rFonts w:hint="eastAsia" w:ascii="宋体" w:hAnsi="宋体" w:eastAsia="宋体" w:cs="宋体"/>
          <w:sz w:val="24"/>
          <w:szCs w:val="24"/>
        </w:rPr>
        <w:t>WORD</w:t>
      </w:r>
      <w:r>
        <w:rPr>
          <w:rFonts w:hint="eastAsia" w:ascii="宋体" w:hAnsi="宋体" w:eastAsia="宋体" w:cs="宋体"/>
          <w:spacing w:val="11"/>
          <w:sz w:val="24"/>
          <w:szCs w:val="24"/>
        </w:rPr>
        <w:t>版和加盖单位公章的</w:t>
      </w:r>
      <w:r>
        <w:rPr>
          <w:rFonts w:hint="eastAsia" w:ascii="宋体" w:hAnsi="宋体" w:eastAsia="宋体" w:cs="宋体"/>
          <w:sz w:val="24"/>
          <w:szCs w:val="24"/>
        </w:rPr>
        <w:t>PDF</w:t>
      </w:r>
      <w:r>
        <w:rPr>
          <w:rFonts w:hint="eastAsia" w:ascii="宋体" w:hAnsi="宋体" w:eastAsia="宋体" w:cs="宋体"/>
          <w:spacing w:val="11"/>
          <w:sz w:val="24"/>
          <w:szCs w:val="24"/>
        </w:rPr>
        <w:t>版（部属单位也可在</w:t>
      </w:r>
      <w:r>
        <w:rPr>
          <w:rFonts w:hint="eastAsia" w:ascii="宋体" w:hAnsi="宋体" w:eastAsia="宋体" w:cs="宋体"/>
          <w:spacing w:val="10"/>
          <w:sz w:val="24"/>
          <w:szCs w:val="24"/>
        </w:rPr>
        <w:t>完成推荐公示后再加盖公章）、成果及佐证材料的</w:t>
      </w:r>
      <w:r>
        <w:rPr>
          <w:rFonts w:hint="eastAsia" w:ascii="宋体" w:hAnsi="宋体" w:eastAsia="宋体" w:cs="宋体"/>
          <w:sz w:val="24"/>
          <w:szCs w:val="24"/>
        </w:rPr>
        <w:t>PDF</w:t>
      </w:r>
      <w:r>
        <w:rPr>
          <w:rFonts w:hint="eastAsia" w:ascii="宋体" w:hAnsi="宋体" w:eastAsia="宋体" w:cs="宋体"/>
          <w:spacing w:val="10"/>
          <w:sz w:val="24"/>
          <w:szCs w:val="24"/>
        </w:rPr>
        <w:t>版</w:t>
      </w:r>
      <w:r>
        <w:rPr>
          <w:rFonts w:hint="eastAsia" w:ascii="宋体" w:hAnsi="宋体" w:eastAsia="宋体" w:cs="宋体"/>
          <w:spacing w:val="6"/>
          <w:sz w:val="24"/>
          <w:szCs w:val="24"/>
        </w:rPr>
        <w:t>于11月6日前提交给二级管理单位。</w:t>
      </w:r>
      <w:r>
        <w:rPr>
          <w:rFonts w:hint="eastAsia" w:ascii="宋体" w:hAnsi="宋体" w:eastAsia="宋体" w:cs="宋体"/>
          <w:spacing w:val="-8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申报者个人须对提交内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容的真实性和准确性负责。</w:t>
      </w:r>
    </w:p>
    <w:p w14:paraId="0E4817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4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（三）二级管理单位须按照申报限额，完成对申报成果的推荐，并对推荐材料进行第一轮公示，公示期不少于5</w:t>
      </w:r>
      <w:r>
        <w:rPr>
          <w:rFonts w:hint="eastAsia" w:ascii="宋体" w:hAnsi="宋体" w:eastAsia="宋体" w:cs="宋体"/>
          <w:spacing w:val="5"/>
          <w:sz w:val="24"/>
          <w:szCs w:val="24"/>
        </w:rPr>
        <w:t>个工作日。11月26日17时前，须将完成公示的推荐材料 (</w:t>
      </w:r>
      <w:r>
        <w:rPr>
          <w:rFonts w:hint="eastAsia" w:ascii="宋体" w:hAnsi="宋体" w:eastAsia="宋体" w:cs="宋体"/>
          <w:spacing w:val="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《专区申报评审表》的</w:t>
      </w:r>
      <w:r>
        <w:rPr>
          <w:rFonts w:hint="eastAsia" w:ascii="宋体" w:hAnsi="宋体" w:eastAsia="宋体" w:cs="宋体"/>
          <w:sz w:val="24"/>
          <w:szCs w:val="24"/>
        </w:rPr>
        <w:t>WORD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版和加盖公章的</w:t>
      </w:r>
      <w:r>
        <w:rPr>
          <w:rFonts w:hint="eastAsia" w:ascii="宋体" w:hAnsi="宋体" w:eastAsia="宋体" w:cs="宋体"/>
          <w:sz w:val="24"/>
          <w:szCs w:val="24"/>
        </w:rPr>
        <w:t>PDF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版、成</w:t>
      </w:r>
      <w:r>
        <w:rPr>
          <w:rFonts w:hint="eastAsia" w:ascii="宋体" w:hAnsi="宋体" w:eastAsia="宋体" w:cs="宋体"/>
          <w:spacing w:val="10"/>
          <w:sz w:val="24"/>
          <w:szCs w:val="24"/>
        </w:rPr>
        <w:t>果及佐证材料的</w:t>
      </w:r>
      <w:r>
        <w:rPr>
          <w:rFonts w:hint="eastAsia" w:ascii="宋体" w:hAnsi="宋体" w:eastAsia="宋体" w:cs="宋体"/>
          <w:sz w:val="24"/>
          <w:szCs w:val="24"/>
        </w:rPr>
        <w:t>PDF</w:t>
      </w:r>
      <w:r>
        <w:rPr>
          <w:rFonts w:hint="eastAsia" w:ascii="宋体" w:hAnsi="宋体" w:eastAsia="宋体" w:cs="宋体"/>
          <w:spacing w:val="10"/>
          <w:sz w:val="24"/>
          <w:szCs w:val="24"/>
        </w:rPr>
        <w:t>版）和《推荐成果汇总表》上传系统</w:t>
      </w:r>
      <w:r>
        <w:rPr>
          <w:rFonts w:hint="eastAsia" w:ascii="宋体" w:hAnsi="宋体" w:eastAsia="宋体" w:cs="宋体"/>
          <w:spacing w:val="6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,</w:t>
      </w:r>
      <w:r>
        <w:rPr>
          <w:rFonts w:hint="eastAsia" w:ascii="宋体" w:hAnsi="宋体" w:eastAsia="宋体" w:cs="宋体"/>
          <w:spacing w:val="8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提交至全规办。</w:t>
      </w:r>
    </w:p>
    <w:p w14:paraId="1F33073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29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《推荐成果汇总表》</w:t>
      </w:r>
      <w:r>
        <w:rPr>
          <w:rFonts w:hint="eastAsia" w:ascii="宋体" w:hAnsi="宋体" w:eastAsia="宋体" w:cs="宋体"/>
          <w:spacing w:val="-7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由系统自动生成，须加盖二级管</w:t>
      </w:r>
      <w:r>
        <w:rPr>
          <w:rFonts w:hint="eastAsia" w:ascii="宋体" w:hAnsi="宋体" w:eastAsia="宋体" w:cs="宋体"/>
          <w:spacing w:val="9"/>
          <w:sz w:val="24"/>
          <w:szCs w:val="24"/>
        </w:rPr>
        <w:t>理单位公章，扫描为</w:t>
      </w:r>
      <w:r>
        <w:rPr>
          <w:rFonts w:hint="eastAsia" w:ascii="宋体" w:hAnsi="宋体" w:eastAsia="宋体" w:cs="宋体"/>
          <w:sz w:val="24"/>
          <w:szCs w:val="24"/>
        </w:rPr>
        <w:t>PDF</w:t>
      </w:r>
      <w:r>
        <w:rPr>
          <w:rFonts w:hint="eastAsia" w:ascii="宋体" w:hAnsi="宋体" w:eastAsia="宋体" w:cs="宋体"/>
          <w:spacing w:val="9"/>
          <w:sz w:val="24"/>
          <w:szCs w:val="24"/>
        </w:rPr>
        <w:t>版上传。</w:t>
      </w:r>
    </w:p>
    <w:p w14:paraId="596548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27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未经公示或公示异议尚未完成核查处理的推荐材料不予受理。在系统中提交至全规办的所有材料均视</w:t>
      </w:r>
      <w:r>
        <w:rPr>
          <w:rFonts w:hint="eastAsia" w:ascii="宋体" w:hAnsi="宋体" w:eastAsia="宋体" w:cs="宋体"/>
          <w:spacing w:val="8"/>
          <w:sz w:val="24"/>
          <w:szCs w:val="24"/>
        </w:rPr>
        <w:t>为经过各</w:t>
      </w:r>
      <w:r>
        <w:rPr>
          <w:rFonts w:hint="eastAsia" w:ascii="宋体" w:hAnsi="宋体" w:eastAsia="宋体" w:cs="宋体"/>
          <w:spacing w:val="5"/>
          <w:sz w:val="24"/>
          <w:szCs w:val="24"/>
        </w:rPr>
        <w:t>级单位审核同意。</w:t>
      </w:r>
    </w:p>
    <w:p w14:paraId="289829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05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《专区申报评审表》、成果及佐证材料、《推荐成果</w:t>
      </w:r>
      <w:r>
        <w:rPr>
          <w:rFonts w:hint="eastAsia" w:ascii="宋体" w:hAnsi="宋体" w:eastAsia="宋体" w:cs="宋体"/>
          <w:spacing w:val="6"/>
          <w:sz w:val="24"/>
          <w:szCs w:val="24"/>
        </w:rPr>
        <w:t>汇总表》均无需给全规办寄送纸质版。</w:t>
      </w:r>
    </w:p>
    <w:p w14:paraId="08E370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（四）二级管理单位须对推荐材料进行审核。审核重</w:t>
      </w:r>
      <w:r>
        <w:rPr>
          <w:rFonts w:hint="eastAsia" w:ascii="宋体" w:hAnsi="宋体" w:eastAsia="宋体" w:cs="宋体"/>
          <w:spacing w:val="8"/>
          <w:sz w:val="24"/>
          <w:szCs w:val="24"/>
        </w:rPr>
        <w:t>点：1.成果是否坚持正确的政治方向、价值取向和研究导向</w:t>
      </w:r>
      <w:r>
        <w:rPr>
          <w:rFonts w:hint="eastAsia" w:ascii="宋体" w:hAnsi="宋体" w:eastAsia="宋体" w:cs="宋体"/>
          <w:spacing w:val="1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8"/>
          <w:sz w:val="24"/>
          <w:szCs w:val="24"/>
        </w:rPr>
        <w:t>；2.成果是否符合学术道德和学术规范，有无知识产权等方</w:t>
      </w:r>
      <w:r>
        <w:rPr>
          <w:rFonts w:hint="eastAsia" w:ascii="宋体" w:hAnsi="宋体" w:eastAsia="宋体" w:cs="宋体"/>
          <w:spacing w:val="6"/>
          <w:sz w:val="24"/>
          <w:szCs w:val="24"/>
        </w:rPr>
        <w:t>面的争议；3.成果是否涉及国家秘密；4.</w:t>
      </w:r>
      <w:r>
        <w:rPr>
          <w:rFonts w:hint="eastAsia" w:ascii="宋体" w:hAnsi="宋体" w:eastAsia="宋体" w:cs="宋体"/>
          <w:spacing w:val="-2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申报资格是</w:t>
      </w:r>
      <w:r>
        <w:rPr>
          <w:rFonts w:hint="eastAsia" w:ascii="宋体" w:hAnsi="宋体" w:eastAsia="宋体" w:cs="宋体"/>
          <w:spacing w:val="5"/>
          <w:sz w:val="24"/>
          <w:szCs w:val="24"/>
        </w:rPr>
        <w:t>否符合</w:t>
      </w:r>
    </w:p>
    <w:p w14:paraId="359606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3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有关规定，推荐材料是否真实。如发现不符合规定或弄虚</w:t>
      </w:r>
      <w:r>
        <w:rPr>
          <w:rFonts w:hint="eastAsia" w:ascii="宋体" w:hAnsi="宋体" w:eastAsia="宋体" w:cs="宋体"/>
          <w:spacing w:val="8"/>
          <w:sz w:val="24"/>
          <w:szCs w:val="24"/>
        </w:rPr>
        <w:t>作假情形，一经核实取消推荐资格。</w:t>
      </w:r>
    </w:p>
    <w:p w14:paraId="0173AD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31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（五）全规办对各二级管理单位报送的推荐材料依据申报要求进行初审。初审结果通过评奖申报系统向各二级</w:t>
      </w:r>
      <w:r>
        <w:rPr>
          <w:rFonts w:hint="eastAsia" w:ascii="宋体" w:hAnsi="宋体" w:eastAsia="宋体" w:cs="宋体"/>
          <w:spacing w:val="7"/>
          <w:sz w:val="24"/>
          <w:szCs w:val="24"/>
        </w:rPr>
        <w:t>管理单位反馈，</w:t>
      </w:r>
      <w:r>
        <w:rPr>
          <w:rFonts w:hint="eastAsia" w:ascii="宋体" w:hAnsi="宋体" w:eastAsia="宋体" w:cs="宋体"/>
          <w:spacing w:val="-9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由各单位进行第二轮公示并核查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，公示期</w:t>
      </w:r>
      <w:r>
        <w:rPr>
          <w:rFonts w:hint="eastAsia" w:ascii="宋体" w:hAnsi="宋体" w:eastAsia="宋体" w:cs="宋体"/>
          <w:spacing w:val="9"/>
          <w:sz w:val="24"/>
          <w:szCs w:val="24"/>
        </w:rPr>
        <w:t>不少于10个工作日。公示合格的推荐材料由全规办组织专</w:t>
      </w:r>
      <w:r>
        <w:rPr>
          <w:rFonts w:hint="eastAsia" w:ascii="宋体" w:hAnsi="宋体" w:eastAsia="宋体" w:cs="宋体"/>
          <w:spacing w:val="5"/>
          <w:sz w:val="24"/>
          <w:szCs w:val="24"/>
        </w:rPr>
        <w:t>家进行复审。</w:t>
      </w:r>
    </w:p>
    <w:p w14:paraId="5D60D6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622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</w:rPr>
        <w:t>（六）国防军事教育科学研究成果单列单评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，</w:t>
      </w:r>
      <w:r>
        <w:rPr>
          <w:rFonts w:hint="eastAsia"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由中央</w:t>
      </w:r>
      <w:r>
        <w:rPr>
          <w:rFonts w:hint="eastAsia" w:ascii="宋体" w:hAnsi="宋体" w:eastAsia="宋体" w:cs="宋体"/>
          <w:spacing w:val="9"/>
          <w:sz w:val="24"/>
          <w:szCs w:val="24"/>
        </w:rPr>
        <w:t>军委训练管理部军事教育局负责，不使用上述评奖申报系</w:t>
      </w:r>
      <w:r>
        <w:rPr>
          <w:rFonts w:hint="eastAsia" w:ascii="宋体" w:hAnsi="宋体" w:eastAsia="宋体" w:cs="宋体"/>
          <w:spacing w:val="8"/>
          <w:sz w:val="24"/>
          <w:szCs w:val="24"/>
        </w:rPr>
        <w:t>统，其申报和评审参照本工作安排执行。</w:t>
      </w:r>
    </w:p>
    <w:p w14:paraId="5E44573C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46A63">
    <w:pPr>
      <w:spacing w:line="235" w:lineRule="exact"/>
      <w:ind w:left="4124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position w:val="1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501E1"/>
    <w:rsid w:val="3D1B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1530</Words>
  <Characters>1593</Characters>
  <Lines>0</Lines>
  <Paragraphs>0</Paragraphs>
  <TotalTime>1</TotalTime>
  <ScaleCrop>false</ScaleCrop>
  <LinksUpToDate>false</LinksUpToDate>
  <CharactersWithSpaces>1620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2025-10-27T03:00:00Z</dcterms:created>
  <dc:creator>Administrator</dc:creator>
  <cp:lastModifiedBy>王永国</cp:lastModifiedBy>
  <dcterms:modified xsi:type="dcterms:W3CDTF">2025-10-27T03:18:47Z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eyJoZGlkIjoiZmEzMjU0YmE4M2Q0ZmExYmQ1YWU4M2UyOGFiNmZjNzEiLCJ1c2VySWQiOiI1MTY5ODczIn0=</vt:lpwstr>
  </property>
  <property fmtid="{D5CDD505-2E9C-101B-9397-08002B2CF9AE}" pid="4" name="ICV">
    <vt:lpwstr>8D0081B45D1E4A1A90F5609FB93A7583_12</vt:lpwstr>
  </property>
</Properties>
</file>